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15FCC" w14:textId="77777777" w:rsidR="00F45FA2" w:rsidRDefault="00CA0F8D">
      <w:r w:rsidRPr="00B006FD">
        <w:rPr>
          <w:noProof/>
        </w:rPr>
        <w:drawing>
          <wp:inline distT="0" distB="0" distL="0" distR="0" wp14:anchorId="7154CCF6" wp14:editId="795AA539">
            <wp:extent cx="5730240" cy="1200150"/>
            <wp:effectExtent l="0" t="0" r="3810" b="0"/>
            <wp:docPr id="4" name="Picture 4" descr="C:\Users\9029407\AppData\Local\Microsoft\Windows\Temporary Internet Files\Content.Outlook\A30WHN2O\Risk Matters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29407\AppData\Local\Microsoft\Windows\Temporary Internet Files\Content.Outlook\A30WHN2O\Risk Matters (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377" cy="1201435"/>
                    </a:xfrm>
                    <a:prstGeom prst="rect">
                      <a:avLst/>
                    </a:prstGeom>
                    <a:noFill/>
                    <a:ln>
                      <a:noFill/>
                    </a:ln>
                  </pic:spPr>
                </pic:pic>
              </a:graphicData>
            </a:graphic>
          </wp:inline>
        </w:drawing>
      </w:r>
    </w:p>
    <w:p w14:paraId="1364EE94" w14:textId="12290742" w:rsidR="0001427E" w:rsidRPr="009861A1" w:rsidRDefault="00CA0F8D">
      <w:pPr>
        <w:rPr>
          <w:b/>
          <w:color w:val="002060"/>
          <w:sz w:val="28"/>
          <w:szCs w:val="28"/>
        </w:rPr>
      </w:pPr>
      <w:r w:rsidRPr="00443B49">
        <w:rPr>
          <w:b/>
          <w:color w:val="002060"/>
          <w:sz w:val="28"/>
          <w:szCs w:val="28"/>
        </w:rPr>
        <w:tab/>
      </w:r>
      <w:r w:rsidRPr="00443B49">
        <w:rPr>
          <w:b/>
          <w:color w:val="002060"/>
          <w:sz w:val="28"/>
          <w:szCs w:val="28"/>
        </w:rPr>
        <w:tab/>
      </w:r>
      <w:r w:rsidRPr="00443B49">
        <w:rPr>
          <w:b/>
          <w:color w:val="002060"/>
          <w:sz w:val="28"/>
          <w:szCs w:val="28"/>
        </w:rPr>
        <w:tab/>
      </w:r>
      <w:r w:rsidR="00423B47" w:rsidRPr="00443B49">
        <w:rPr>
          <w:b/>
          <w:color w:val="002060"/>
          <w:sz w:val="28"/>
          <w:szCs w:val="28"/>
        </w:rPr>
        <w:t xml:space="preserve">           </w:t>
      </w:r>
      <w:r w:rsidR="00443B49">
        <w:rPr>
          <w:b/>
          <w:color w:val="002060"/>
          <w:sz w:val="28"/>
          <w:szCs w:val="28"/>
        </w:rPr>
        <w:tab/>
      </w:r>
      <w:r w:rsidR="00443B49">
        <w:rPr>
          <w:b/>
          <w:color w:val="002060"/>
          <w:sz w:val="28"/>
          <w:szCs w:val="28"/>
        </w:rPr>
        <w:tab/>
      </w:r>
      <w:r w:rsidR="00CE0992" w:rsidRPr="009861A1">
        <w:rPr>
          <w:b/>
          <w:color w:val="002060"/>
          <w:sz w:val="28"/>
          <w:szCs w:val="28"/>
        </w:rPr>
        <w:t>June 2024</w:t>
      </w:r>
    </w:p>
    <w:p w14:paraId="22215299" w14:textId="1A29C712" w:rsidR="000F58D7" w:rsidRPr="009861A1" w:rsidRDefault="00423C21" w:rsidP="00E37C20">
      <w:pPr>
        <w:spacing w:after="0"/>
        <w:ind w:left="2880" w:hanging="2880"/>
        <w:jc w:val="both"/>
        <w:rPr>
          <w:b/>
          <w:color w:val="002060"/>
          <w:sz w:val="28"/>
          <w:szCs w:val="28"/>
        </w:rPr>
      </w:pPr>
      <w:r w:rsidRPr="009861A1">
        <w:rPr>
          <w:b/>
          <w:color w:val="002060"/>
          <w:sz w:val="28"/>
          <w:szCs w:val="28"/>
        </w:rPr>
        <w:tab/>
      </w:r>
      <w:r w:rsidR="003B7DD3" w:rsidRPr="009861A1">
        <w:rPr>
          <w:b/>
          <w:color w:val="002060"/>
          <w:sz w:val="28"/>
          <w:szCs w:val="28"/>
        </w:rPr>
        <w:t>Security &amp;</w:t>
      </w:r>
      <w:r w:rsidR="000F58D7" w:rsidRPr="009861A1">
        <w:rPr>
          <w:b/>
          <w:color w:val="002060"/>
          <w:sz w:val="28"/>
          <w:szCs w:val="28"/>
        </w:rPr>
        <w:t xml:space="preserve"> Fire Safety</w:t>
      </w:r>
      <w:r w:rsidR="00443B49" w:rsidRPr="009861A1">
        <w:rPr>
          <w:b/>
          <w:color w:val="002060"/>
          <w:sz w:val="28"/>
          <w:szCs w:val="28"/>
        </w:rPr>
        <w:t xml:space="preserve"> </w:t>
      </w:r>
      <w:r w:rsidR="000F58D7" w:rsidRPr="009861A1">
        <w:rPr>
          <w:b/>
          <w:color w:val="002060"/>
          <w:sz w:val="28"/>
          <w:szCs w:val="28"/>
        </w:rPr>
        <w:t xml:space="preserve"> </w:t>
      </w:r>
    </w:p>
    <w:p w14:paraId="1BE41616" w14:textId="77777777" w:rsidR="00B312A0" w:rsidRDefault="00B312A0" w:rsidP="00D250D5"/>
    <w:p w14:paraId="580ED1FE" w14:textId="28E67A90" w:rsidR="00443B49" w:rsidRDefault="00443B49" w:rsidP="00443B49">
      <w:pPr>
        <w:pStyle w:val="Heading2"/>
        <w:ind w:left="0"/>
      </w:pPr>
      <w:r>
        <w:t>Fire</w:t>
      </w:r>
      <w:r w:rsidR="00492491">
        <w:t>/Security</w:t>
      </w:r>
      <w:r>
        <w:t xml:space="preserve"> Vigilance – Education Establishments. </w:t>
      </w:r>
    </w:p>
    <w:p w14:paraId="4B9AE247" w14:textId="7F172D59" w:rsidR="00443B49" w:rsidRPr="009861A1" w:rsidRDefault="00443B49" w:rsidP="00443B49">
      <w:pPr>
        <w:rPr>
          <w:sz w:val="24"/>
          <w:szCs w:val="24"/>
        </w:rPr>
      </w:pPr>
      <w:r w:rsidRPr="009861A1">
        <w:rPr>
          <w:sz w:val="24"/>
          <w:szCs w:val="24"/>
        </w:rPr>
        <w:t>There is a need to be vigilan</w:t>
      </w:r>
      <w:r w:rsidR="004A4794">
        <w:rPr>
          <w:sz w:val="24"/>
          <w:szCs w:val="24"/>
        </w:rPr>
        <w:t>t</w:t>
      </w:r>
      <w:r w:rsidRPr="009861A1">
        <w:rPr>
          <w:sz w:val="24"/>
          <w:szCs w:val="24"/>
        </w:rPr>
        <w:t xml:space="preserve"> around the prevention of potential wilful fire-raising</w:t>
      </w:r>
      <w:r w:rsidR="00492491" w:rsidRPr="009861A1">
        <w:rPr>
          <w:sz w:val="24"/>
          <w:szCs w:val="24"/>
        </w:rPr>
        <w:t xml:space="preserve"> and vandalism/security breach</w:t>
      </w:r>
      <w:r w:rsidRPr="009861A1">
        <w:rPr>
          <w:sz w:val="24"/>
          <w:szCs w:val="24"/>
        </w:rPr>
        <w:t xml:space="preserve"> events and minimising / controlling the risks </w:t>
      </w:r>
      <w:r w:rsidRPr="009861A1">
        <w:rPr>
          <w:noProof/>
          <w:sz w:val="24"/>
          <w:szCs w:val="24"/>
        </w:rPr>
        <w:drawing>
          <wp:anchor distT="0" distB="0" distL="114300" distR="114300" simplePos="0" relativeHeight="251659264" behindDoc="0" locked="0" layoutInCell="0" allowOverlap="1" wp14:anchorId="57C1D68D" wp14:editId="4250CCD8">
            <wp:simplePos x="0" y="0"/>
            <wp:positionH relativeFrom="column">
              <wp:posOffset>4536440</wp:posOffset>
            </wp:positionH>
            <wp:positionV relativeFrom="page">
              <wp:align>bottom</wp:align>
            </wp:positionV>
            <wp:extent cx="1981200" cy="981075"/>
            <wp:effectExtent l="0" t="0" r="0" b="9525"/>
            <wp:wrapNone/>
            <wp:docPr id="45" name="Picture 45" descr="Statutory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atutory Pur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anchor>
        </w:drawing>
      </w:r>
      <w:r w:rsidR="004A4794">
        <w:rPr>
          <w:sz w:val="24"/>
          <w:szCs w:val="24"/>
        </w:rPr>
        <w:t>to our Primary, Secondary and ASN School estate.</w:t>
      </w:r>
    </w:p>
    <w:p w14:paraId="0FE791F1" w14:textId="77777777" w:rsidR="00443B49" w:rsidRDefault="00443B49" w:rsidP="00443B49">
      <w:pPr>
        <w:pStyle w:val="Heading2"/>
        <w:ind w:left="0"/>
      </w:pPr>
      <w:r>
        <w:t>What can we do?</w:t>
      </w:r>
    </w:p>
    <w:p w14:paraId="41D67D5A" w14:textId="79A6808D" w:rsidR="00443B49" w:rsidRPr="009861A1" w:rsidRDefault="004A4794" w:rsidP="00443B49">
      <w:pPr>
        <w:rPr>
          <w:sz w:val="24"/>
          <w:szCs w:val="24"/>
        </w:rPr>
      </w:pPr>
      <w:r>
        <w:rPr>
          <w:sz w:val="24"/>
          <w:szCs w:val="24"/>
        </w:rPr>
        <w:t>U</w:t>
      </w:r>
      <w:r w:rsidR="00443B49" w:rsidRPr="009861A1">
        <w:rPr>
          <w:sz w:val="24"/>
          <w:szCs w:val="24"/>
        </w:rPr>
        <w:t>nder fire safety law, there are proactive measures you can take to reduce the probability of wilful fire raising occurring. This is a “team” approach. School SLT’s, FM, Security, Fire Safety</w:t>
      </w:r>
      <w:r>
        <w:rPr>
          <w:sz w:val="24"/>
          <w:szCs w:val="24"/>
        </w:rPr>
        <w:t xml:space="preserve">, </w:t>
      </w:r>
      <w:r w:rsidR="00443B49" w:rsidRPr="009861A1">
        <w:rPr>
          <w:sz w:val="24"/>
          <w:szCs w:val="24"/>
        </w:rPr>
        <w:t>Corporate Health and Safety at CEC</w:t>
      </w:r>
      <w:r>
        <w:rPr>
          <w:sz w:val="24"/>
          <w:szCs w:val="24"/>
        </w:rPr>
        <w:t xml:space="preserve"> and</w:t>
      </w:r>
      <w:r w:rsidR="00580E3E">
        <w:rPr>
          <w:sz w:val="24"/>
          <w:szCs w:val="24"/>
        </w:rPr>
        <w:t xml:space="preserve"> Let holders</w:t>
      </w:r>
      <w:r w:rsidR="00443B49" w:rsidRPr="009861A1">
        <w:rPr>
          <w:sz w:val="24"/>
          <w:szCs w:val="24"/>
        </w:rPr>
        <w:t xml:space="preserve"> all have a part to play in this.     </w:t>
      </w:r>
    </w:p>
    <w:p w14:paraId="5C93C561" w14:textId="77777777"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 xml:space="preserve">Keep vigilant to any unusual activity with any unauthorised persons seen in the confines of the external areas. </w:t>
      </w:r>
    </w:p>
    <w:p w14:paraId="2C07F25B" w14:textId="51D8BF85" w:rsidR="00443B49" w:rsidRDefault="00443B49" w:rsidP="00443B49">
      <w:pPr>
        <w:pStyle w:val="ListParagraph"/>
        <w:numPr>
          <w:ilvl w:val="0"/>
          <w:numId w:val="9"/>
        </w:numPr>
        <w:spacing w:before="120" w:after="120" w:line="240" w:lineRule="auto"/>
        <w:jc w:val="both"/>
        <w:rPr>
          <w:sz w:val="24"/>
          <w:szCs w:val="24"/>
        </w:rPr>
      </w:pPr>
      <w:r w:rsidRPr="009861A1">
        <w:rPr>
          <w:sz w:val="24"/>
          <w:szCs w:val="24"/>
        </w:rPr>
        <w:t>Ensur</w:t>
      </w:r>
      <w:r w:rsidR="00C67935">
        <w:rPr>
          <w:sz w:val="24"/>
          <w:szCs w:val="24"/>
        </w:rPr>
        <w:t>e</w:t>
      </w:r>
      <w:r w:rsidRPr="009861A1">
        <w:rPr>
          <w:sz w:val="24"/>
          <w:szCs w:val="24"/>
        </w:rPr>
        <w:t xml:space="preserve"> waste</w:t>
      </w:r>
      <w:r w:rsidR="00580E3E">
        <w:rPr>
          <w:sz w:val="24"/>
          <w:szCs w:val="24"/>
        </w:rPr>
        <w:t xml:space="preserve"> is disposed of in an appropriate way ready for regular uplift</w:t>
      </w:r>
      <w:r w:rsidRPr="009861A1">
        <w:rPr>
          <w:sz w:val="24"/>
          <w:szCs w:val="24"/>
        </w:rPr>
        <w:t xml:space="preserve">. </w:t>
      </w:r>
    </w:p>
    <w:p w14:paraId="78661B06" w14:textId="104C229C" w:rsidR="004B1023" w:rsidRPr="00CD2BD4" w:rsidRDefault="004B1023" w:rsidP="00443B49">
      <w:pPr>
        <w:pStyle w:val="ListParagraph"/>
        <w:numPr>
          <w:ilvl w:val="0"/>
          <w:numId w:val="9"/>
        </w:numPr>
        <w:spacing w:before="120" w:after="120" w:line="240" w:lineRule="auto"/>
        <w:jc w:val="both"/>
        <w:rPr>
          <w:sz w:val="24"/>
          <w:szCs w:val="24"/>
        </w:rPr>
      </w:pPr>
      <w:r w:rsidRPr="00CD2BD4">
        <w:rPr>
          <w:sz w:val="24"/>
          <w:szCs w:val="24"/>
        </w:rPr>
        <w:t xml:space="preserve">Wheelie bins and refuse bins are secured for access. </w:t>
      </w:r>
    </w:p>
    <w:p w14:paraId="47E957E9" w14:textId="038A5326"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Ensu</w:t>
      </w:r>
      <w:r w:rsidR="00C67935">
        <w:rPr>
          <w:sz w:val="24"/>
          <w:szCs w:val="24"/>
        </w:rPr>
        <w:t>re</w:t>
      </w:r>
      <w:r w:rsidRPr="009861A1">
        <w:rPr>
          <w:sz w:val="24"/>
          <w:szCs w:val="24"/>
        </w:rPr>
        <w:t xml:space="preserve"> there are no combustibles placed against any part of the fabric of the building.</w:t>
      </w:r>
    </w:p>
    <w:p w14:paraId="1A13458B" w14:textId="55937EB8"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Adher</w:t>
      </w:r>
      <w:r w:rsidR="00C67935">
        <w:rPr>
          <w:sz w:val="24"/>
          <w:szCs w:val="24"/>
        </w:rPr>
        <w:t>e</w:t>
      </w:r>
      <w:r w:rsidRPr="009861A1">
        <w:rPr>
          <w:sz w:val="24"/>
          <w:szCs w:val="24"/>
        </w:rPr>
        <w:t xml:space="preserve"> to good fire safety practices.</w:t>
      </w:r>
    </w:p>
    <w:p w14:paraId="705F98AB" w14:textId="20D6C790"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 xml:space="preserve">Have a proactive fire safety management system that includes measures to reduce the probability of wilful fire raising. </w:t>
      </w:r>
    </w:p>
    <w:p w14:paraId="1E70DAA6" w14:textId="3E09F767"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Report all incidences of wilful fire raising and near miss incidents in connection with wilful fire raising.</w:t>
      </w:r>
    </w:p>
    <w:p w14:paraId="6A80D5F6" w14:textId="4AD3EC41"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Repor</w:t>
      </w:r>
      <w:r w:rsidR="00C67935">
        <w:rPr>
          <w:sz w:val="24"/>
          <w:szCs w:val="24"/>
        </w:rPr>
        <w:t>t</w:t>
      </w:r>
      <w:r w:rsidRPr="009861A1">
        <w:rPr>
          <w:sz w:val="24"/>
          <w:szCs w:val="24"/>
        </w:rPr>
        <w:t xml:space="preserve"> any fire devices / fire systems that are not working /faulty promptly.</w:t>
      </w:r>
    </w:p>
    <w:p w14:paraId="4F49485E" w14:textId="47A0B66F" w:rsidR="00443B49" w:rsidRPr="009861A1" w:rsidRDefault="00443B49" w:rsidP="00443B49">
      <w:pPr>
        <w:pStyle w:val="ListParagraph"/>
        <w:numPr>
          <w:ilvl w:val="0"/>
          <w:numId w:val="9"/>
        </w:numPr>
        <w:spacing w:before="120" w:after="120" w:line="240" w:lineRule="auto"/>
        <w:jc w:val="both"/>
        <w:rPr>
          <w:sz w:val="24"/>
          <w:szCs w:val="24"/>
        </w:rPr>
      </w:pPr>
      <w:r w:rsidRPr="009861A1">
        <w:rPr>
          <w:sz w:val="24"/>
          <w:szCs w:val="24"/>
        </w:rPr>
        <w:t>Increas</w:t>
      </w:r>
      <w:r w:rsidR="00C67935">
        <w:rPr>
          <w:sz w:val="24"/>
          <w:szCs w:val="24"/>
        </w:rPr>
        <w:t>e</w:t>
      </w:r>
      <w:r w:rsidRPr="009861A1">
        <w:rPr>
          <w:sz w:val="24"/>
          <w:szCs w:val="24"/>
        </w:rPr>
        <w:t xml:space="preserve"> fire safety awareness among staff in your </w:t>
      </w:r>
      <w:r w:rsidR="00580E3E">
        <w:rPr>
          <w:sz w:val="24"/>
          <w:szCs w:val="24"/>
        </w:rPr>
        <w:t>provision</w:t>
      </w:r>
      <w:r w:rsidRPr="009861A1">
        <w:rPr>
          <w:sz w:val="24"/>
          <w:szCs w:val="24"/>
        </w:rPr>
        <w:t xml:space="preserve">. This includes community groups. </w:t>
      </w:r>
    </w:p>
    <w:p w14:paraId="20716BB9" w14:textId="5F7F2B07" w:rsidR="00492491" w:rsidRPr="009861A1" w:rsidRDefault="00443B49" w:rsidP="009861A1">
      <w:pPr>
        <w:pStyle w:val="ListParagraph"/>
        <w:numPr>
          <w:ilvl w:val="0"/>
          <w:numId w:val="9"/>
        </w:numPr>
        <w:spacing w:before="120" w:after="120" w:line="240" w:lineRule="auto"/>
        <w:jc w:val="both"/>
        <w:rPr>
          <w:sz w:val="24"/>
          <w:szCs w:val="24"/>
        </w:rPr>
      </w:pPr>
      <w:r w:rsidRPr="009861A1">
        <w:rPr>
          <w:sz w:val="24"/>
          <w:szCs w:val="24"/>
        </w:rPr>
        <w:t>Ensur</w:t>
      </w:r>
      <w:r w:rsidR="00C67935">
        <w:rPr>
          <w:sz w:val="24"/>
          <w:szCs w:val="24"/>
        </w:rPr>
        <w:t>e</w:t>
      </w:r>
      <w:r w:rsidRPr="009861A1">
        <w:rPr>
          <w:sz w:val="24"/>
          <w:szCs w:val="24"/>
        </w:rPr>
        <w:t xml:space="preserve"> any faulty external lighting / CCTV on site is reported promptly. </w:t>
      </w:r>
    </w:p>
    <w:p w14:paraId="62255111" w14:textId="4635ABA3" w:rsidR="00443B49" w:rsidRPr="009861A1" w:rsidRDefault="00492491" w:rsidP="00443B49">
      <w:pPr>
        <w:pStyle w:val="ListParagraph"/>
        <w:numPr>
          <w:ilvl w:val="0"/>
          <w:numId w:val="9"/>
        </w:numPr>
        <w:spacing w:before="120" w:after="120" w:line="240" w:lineRule="auto"/>
        <w:jc w:val="both"/>
        <w:rPr>
          <w:sz w:val="24"/>
          <w:szCs w:val="24"/>
        </w:rPr>
      </w:pPr>
      <w:r w:rsidRPr="009861A1">
        <w:rPr>
          <w:sz w:val="24"/>
          <w:szCs w:val="24"/>
        </w:rPr>
        <w:t>Make sure all security systems are activated and doors/windows are secured when leaving establishments at the end of each day</w:t>
      </w:r>
    </w:p>
    <w:p w14:paraId="6B2909AF" w14:textId="77777777" w:rsidR="004A4794" w:rsidRDefault="004A4794" w:rsidP="00CD2BD4">
      <w:pPr>
        <w:pStyle w:val="ListParagraph"/>
        <w:ind w:left="0"/>
        <w:rPr>
          <w:sz w:val="24"/>
          <w:szCs w:val="24"/>
        </w:rPr>
      </w:pPr>
    </w:p>
    <w:p w14:paraId="1E04C6BA" w14:textId="18EA2F66" w:rsidR="00CD2BD4" w:rsidRPr="004D5089" w:rsidRDefault="00CD2BD4" w:rsidP="00CD2BD4">
      <w:pPr>
        <w:pStyle w:val="ListParagraph"/>
        <w:ind w:left="0"/>
        <w:rPr>
          <w:sz w:val="24"/>
          <w:szCs w:val="24"/>
        </w:rPr>
      </w:pPr>
      <w:r w:rsidRPr="00CD2BD4">
        <w:rPr>
          <w:b/>
          <w:bCs/>
          <w:sz w:val="24"/>
          <w:szCs w:val="24"/>
        </w:rPr>
        <w:t>Appendix 1</w:t>
      </w:r>
      <w:r>
        <w:rPr>
          <w:sz w:val="24"/>
          <w:szCs w:val="24"/>
        </w:rPr>
        <w:t xml:space="preserve"> sets out a checklist of questions to </w:t>
      </w:r>
      <w:r w:rsidRPr="00C67935">
        <w:rPr>
          <w:sz w:val="24"/>
          <w:szCs w:val="24"/>
          <w:u w:val="single"/>
        </w:rPr>
        <w:t>consider</w:t>
      </w:r>
    </w:p>
    <w:p w14:paraId="4797FAD4" w14:textId="77777777" w:rsidR="004D5089" w:rsidRPr="004D5089" w:rsidRDefault="004D5089" w:rsidP="004D5089">
      <w:pPr>
        <w:spacing w:after="150" w:line="450" w:lineRule="atLeast"/>
        <w:outlineLvl w:val="2"/>
        <w:rPr>
          <w:rFonts w:ascii="Arial" w:eastAsia="Times New Roman" w:hAnsi="Arial" w:cs="Times New Roman"/>
          <w:b/>
          <w:color w:val="663366"/>
          <w:sz w:val="28"/>
          <w:szCs w:val="28"/>
          <w:lang w:eastAsia="en-GB"/>
        </w:rPr>
      </w:pPr>
      <w:r w:rsidRPr="004D5089">
        <w:rPr>
          <w:rFonts w:ascii="Arial" w:eastAsia="Times New Roman" w:hAnsi="Arial" w:cs="Times New Roman" w:hint="cs"/>
          <w:b/>
          <w:color w:val="663366"/>
          <w:sz w:val="28"/>
          <w:szCs w:val="28"/>
          <w:lang w:eastAsia="en-GB"/>
        </w:rPr>
        <w:t>Locks</w:t>
      </w:r>
    </w:p>
    <w:p w14:paraId="2C7E6DDC" w14:textId="77777777" w:rsidR="004D5089" w:rsidRPr="004D5089" w:rsidRDefault="004D5089" w:rsidP="004D5089">
      <w:pPr>
        <w:spacing w:after="150" w:line="450" w:lineRule="atLeast"/>
        <w:outlineLvl w:val="2"/>
        <w:rPr>
          <w:sz w:val="24"/>
          <w:szCs w:val="24"/>
        </w:rPr>
      </w:pPr>
      <w:r w:rsidRPr="004D5089">
        <w:rPr>
          <w:sz w:val="24"/>
          <w:szCs w:val="24"/>
        </w:rPr>
        <w:t xml:space="preserve">Windows, doors and gates fitted with appropriate locks that are secure. </w:t>
      </w:r>
    </w:p>
    <w:p w14:paraId="09495868" w14:textId="77777777" w:rsidR="004D5089" w:rsidRPr="004D5089" w:rsidRDefault="004D5089" w:rsidP="004D5089">
      <w:pPr>
        <w:spacing w:after="150" w:line="450" w:lineRule="atLeast"/>
        <w:outlineLvl w:val="2"/>
        <w:rPr>
          <w:rFonts w:ascii="Arial" w:eastAsia="Times New Roman" w:hAnsi="Arial" w:cs="Times New Roman"/>
          <w:b/>
          <w:color w:val="663366"/>
          <w:sz w:val="28"/>
          <w:szCs w:val="28"/>
          <w:lang w:eastAsia="en-GB"/>
        </w:rPr>
      </w:pPr>
      <w:r w:rsidRPr="004D5089">
        <w:rPr>
          <w:rFonts w:ascii="Arial" w:eastAsia="Times New Roman" w:hAnsi="Arial" w:cs="Times New Roman" w:hint="cs"/>
          <w:b/>
          <w:color w:val="663366"/>
          <w:sz w:val="28"/>
          <w:szCs w:val="28"/>
          <w:lang w:eastAsia="en-GB"/>
        </w:rPr>
        <w:lastRenderedPageBreak/>
        <w:t>Secure storage</w:t>
      </w:r>
    </w:p>
    <w:p w14:paraId="5DD14C32" w14:textId="77777777" w:rsidR="004D5089" w:rsidRPr="004D5089" w:rsidRDefault="004D5089" w:rsidP="001404D4">
      <w:pPr>
        <w:spacing w:after="450" w:line="240" w:lineRule="auto"/>
        <w:rPr>
          <w:sz w:val="24"/>
          <w:szCs w:val="24"/>
        </w:rPr>
      </w:pPr>
      <w:r w:rsidRPr="004D5089">
        <w:rPr>
          <w:sz w:val="24"/>
          <w:szCs w:val="24"/>
        </w:rPr>
        <w:t xml:space="preserve">High value items such as IT equipment and musical instruments shouldn’t be visible from the outside, and empty packaging must be discretely disposed so that it doesn’t entice opportunist criminals. </w:t>
      </w:r>
    </w:p>
    <w:p w14:paraId="6A4E32A0" w14:textId="77777777" w:rsidR="00B530EC" w:rsidRDefault="004D5089" w:rsidP="001404D4">
      <w:pPr>
        <w:spacing w:after="150" w:line="240" w:lineRule="auto"/>
        <w:outlineLvl w:val="2"/>
        <w:rPr>
          <w:rFonts w:ascii="Arial" w:eastAsia="Times New Roman" w:hAnsi="Arial" w:cs="Times New Roman"/>
          <w:b/>
          <w:color w:val="663366"/>
          <w:sz w:val="28"/>
          <w:szCs w:val="28"/>
          <w:lang w:eastAsia="en-GB"/>
        </w:rPr>
      </w:pPr>
      <w:r w:rsidRPr="004D5089">
        <w:rPr>
          <w:rFonts w:ascii="Arial" w:eastAsia="Times New Roman" w:hAnsi="Arial" w:cs="Times New Roman"/>
          <w:b/>
          <w:color w:val="663366"/>
          <w:sz w:val="28"/>
          <w:szCs w:val="28"/>
          <w:lang w:eastAsia="en-GB"/>
        </w:rPr>
        <w:t xml:space="preserve">External storage of waste, combustible items, and location of storage units </w:t>
      </w:r>
    </w:p>
    <w:p w14:paraId="5AB4E7BB" w14:textId="511FBB7A" w:rsidR="004D5089" w:rsidRPr="00CD2BD4" w:rsidRDefault="004D5089" w:rsidP="001404D4">
      <w:pPr>
        <w:spacing w:after="150" w:line="240" w:lineRule="auto"/>
        <w:outlineLvl w:val="2"/>
        <w:rPr>
          <w:rFonts w:ascii="Arial" w:eastAsia="Times New Roman" w:hAnsi="Arial" w:cs="Times New Roman"/>
          <w:b/>
          <w:sz w:val="28"/>
          <w:szCs w:val="28"/>
          <w:lang w:eastAsia="en-GB"/>
        </w:rPr>
      </w:pPr>
      <w:r w:rsidRPr="004D5089">
        <w:rPr>
          <w:sz w:val="24"/>
          <w:szCs w:val="24"/>
        </w:rPr>
        <w:t>Deliberate, or accidental fires are a significant risk to our buildings. Fires can spread through direct contact with flames, conduction, convection and radiation. The closer the source of fire is to a building the greater the intensity of radiated heat. The risk of fire is increased if combustible items such as pallets, tyres, loose parts play and waste receptacles containing flammable materials are stored in close proximity to buildings.</w:t>
      </w:r>
      <w:r w:rsidR="002823AF">
        <w:rPr>
          <w:sz w:val="24"/>
          <w:szCs w:val="24"/>
        </w:rPr>
        <w:t xml:space="preserve"> </w:t>
      </w:r>
      <w:r w:rsidR="002823AF" w:rsidRPr="00CD2BD4">
        <w:rPr>
          <w:sz w:val="24"/>
          <w:szCs w:val="24"/>
        </w:rPr>
        <w:t xml:space="preserve">Current Fire Insurance requirements are that sheds, wooden boards, etc are sited at least 10 metres away from any building and fixed to the ground. We appreciate that some school playgrounds may not meet the 10 metre rule so the guidance would be to locate </w:t>
      </w:r>
      <w:r w:rsidR="004B549E" w:rsidRPr="00CD2BD4">
        <w:rPr>
          <w:sz w:val="24"/>
          <w:szCs w:val="24"/>
        </w:rPr>
        <w:t xml:space="preserve">the above items </w:t>
      </w:r>
      <w:r w:rsidR="002823AF" w:rsidRPr="00CD2BD4">
        <w:rPr>
          <w:sz w:val="24"/>
          <w:szCs w:val="24"/>
        </w:rPr>
        <w:t>as far away from the building as possible</w:t>
      </w:r>
      <w:r w:rsidR="004B549E" w:rsidRPr="00CD2BD4">
        <w:rPr>
          <w:sz w:val="24"/>
          <w:szCs w:val="24"/>
        </w:rPr>
        <w:t xml:space="preserve"> and secured to the ground</w:t>
      </w:r>
      <w:r w:rsidR="002823AF" w:rsidRPr="00CD2BD4">
        <w:rPr>
          <w:sz w:val="24"/>
          <w:szCs w:val="24"/>
        </w:rPr>
        <w:t xml:space="preserve">. </w:t>
      </w:r>
      <w:r w:rsidR="004B549E" w:rsidRPr="00CD2BD4">
        <w:rPr>
          <w:sz w:val="24"/>
          <w:szCs w:val="24"/>
        </w:rPr>
        <w:t xml:space="preserve">Consideration should be given to painting wooden sheds and decking/ boarding with fire resistant paint. Tyres need to be locked away in secure units when not in use during the school day or fixed to the ground and weighted down with sand. </w:t>
      </w:r>
      <w:r w:rsidR="002823AF" w:rsidRPr="00CD2BD4">
        <w:rPr>
          <w:sz w:val="24"/>
          <w:szCs w:val="24"/>
        </w:rPr>
        <w:t xml:space="preserve">  </w:t>
      </w:r>
    </w:p>
    <w:p w14:paraId="692ACF7E" w14:textId="77777777" w:rsidR="004D5089" w:rsidRPr="004D5089" w:rsidRDefault="004D5089" w:rsidP="004D5089">
      <w:pPr>
        <w:spacing w:after="150" w:line="450" w:lineRule="atLeast"/>
        <w:outlineLvl w:val="2"/>
        <w:rPr>
          <w:rFonts w:ascii="Arial" w:eastAsia="Times New Roman" w:hAnsi="Arial" w:cs="Times New Roman"/>
          <w:b/>
          <w:color w:val="663366"/>
          <w:sz w:val="28"/>
          <w:szCs w:val="28"/>
          <w:lang w:eastAsia="en-GB"/>
        </w:rPr>
      </w:pPr>
      <w:r w:rsidRPr="004D5089">
        <w:rPr>
          <w:rFonts w:ascii="Arial" w:eastAsia="Times New Roman" w:hAnsi="Arial" w:cs="Times New Roman" w:hint="cs"/>
          <w:b/>
          <w:color w:val="663366"/>
          <w:sz w:val="28"/>
          <w:szCs w:val="28"/>
          <w:lang w:eastAsia="en-GB"/>
        </w:rPr>
        <w:t>Secure the grounds</w:t>
      </w:r>
    </w:p>
    <w:p w14:paraId="73784FA2" w14:textId="6D07379F" w:rsidR="00BD1FA2" w:rsidRPr="004A4794" w:rsidRDefault="004D5089" w:rsidP="004A4794">
      <w:pPr>
        <w:spacing w:after="150" w:line="240" w:lineRule="auto"/>
        <w:outlineLvl w:val="2"/>
        <w:rPr>
          <w:sz w:val="24"/>
          <w:szCs w:val="24"/>
        </w:rPr>
        <w:sectPr w:rsidR="00BD1FA2" w:rsidRPr="004A4794" w:rsidSect="00133F14">
          <w:pgSz w:w="11906" w:h="16838"/>
          <w:pgMar w:top="851" w:right="1440" w:bottom="1440" w:left="1440" w:header="709" w:footer="709" w:gutter="0"/>
          <w:cols w:space="708"/>
          <w:docGrid w:linePitch="360"/>
        </w:sectPr>
      </w:pPr>
      <w:r w:rsidRPr="004D5089">
        <w:rPr>
          <w:sz w:val="24"/>
          <w:szCs w:val="24"/>
        </w:rPr>
        <w:t xml:space="preserve">Any </w:t>
      </w:r>
      <w:r w:rsidR="00580E3E">
        <w:rPr>
          <w:sz w:val="24"/>
          <w:szCs w:val="24"/>
        </w:rPr>
        <w:t xml:space="preserve">identified issues with </w:t>
      </w:r>
      <w:r w:rsidRPr="004D5089">
        <w:rPr>
          <w:sz w:val="24"/>
          <w:szCs w:val="24"/>
        </w:rPr>
        <w:t xml:space="preserve">fencing around the school site should be </w:t>
      </w:r>
      <w:r w:rsidR="00580E3E">
        <w:rPr>
          <w:sz w:val="24"/>
          <w:szCs w:val="24"/>
        </w:rPr>
        <w:t>reported</w:t>
      </w:r>
      <w:r w:rsidRPr="004D5089">
        <w:rPr>
          <w:sz w:val="24"/>
          <w:szCs w:val="24"/>
        </w:rPr>
        <w:t xml:space="preserve"> to ensure that it’s fully intact with no damaged bolts, hinges or handles, and with no potential access points that could work as a foothold for easy access to thieves.</w:t>
      </w:r>
      <w:r w:rsidR="00BD1FA2">
        <w:rPr>
          <w:noProof/>
        </w:rPr>
        <w:drawing>
          <wp:anchor distT="0" distB="0" distL="114300" distR="114300" simplePos="0" relativeHeight="251663360" behindDoc="0" locked="0" layoutInCell="0" allowOverlap="1" wp14:anchorId="566A2EB4" wp14:editId="4E29A05B">
            <wp:simplePos x="0" y="0"/>
            <wp:positionH relativeFrom="column">
              <wp:posOffset>4565650</wp:posOffset>
            </wp:positionH>
            <wp:positionV relativeFrom="page">
              <wp:posOffset>9654540</wp:posOffset>
            </wp:positionV>
            <wp:extent cx="1981200" cy="981075"/>
            <wp:effectExtent l="0" t="0" r="0" b="9525"/>
            <wp:wrapNone/>
            <wp:docPr id="451249171" name="Picture 451249171" descr="Statutory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atutory Pur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anchor>
        </w:drawing>
      </w:r>
      <w:r w:rsidR="004A4794">
        <w:rPr>
          <w:color w:val="FF0000"/>
        </w:rPr>
        <w:t xml:space="preserve"> </w:t>
      </w:r>
    </w:p>
    <w:p w14:paraId="0DC871AA" w14:textId="3CBBBB6F" w:rsidR="00BD1FA2" w:rsidRPr="003600EE" w:rsidRDefault="00BD1FA2" w:rsidP="00BD1FA2">
      <w:pPr>
        <w:rPr>
          <w:rFonts w:ascii="Arial" w:hAnsi="Arial" w:cs="Arial"/>
        </w:rPr>
      </w:pPr>
      <w:r>
        <w:rPr>
          <w:rFonts w:ascii="Arial" w:hAnsi="Arial" w:cs="Arial"/>
        </w:rPr>
        <w:lastRenderedPageBreak/>
        <w:t xml:space="preserve">Appendix 1. </w:t>
      </w:r>
      <w:r w:rsidRPr="003600EE">
        <w:rPr>
          <w:rFonts w:ascii="Arial" w:hAnsi="Arial" w:cs="Arial"/>
        </w:rPr>
        <w:t>Fire Raising Checklist</w:t>
      </w:r>
      <w:r>
        <w:rPr>
          <w:rFonts w:ascii="Arial" w:hAnsi="Arial" w:cs="Arial"/>
        </w:rPr>
        <w:t xml:space="preserve"> </w:t>
      </w:r>
      <w:r w:rsidR="00C67935">
        <w:rPr>
          <w:rFonts w:ascii="Arial" w:hAnsi="Arial" w:cs="Arial"/>
        </w:rPr>
        <w:t>–</w:t>
      </w:r>
      <w:r>
        <w:rPr>
          <w:rFonts w:ascii="Arial" w:hAnsi="Arial" w:cs="Arial"/>
        </w:rPr>
        <w:t xml:space="preserve"> Education</w:t>
      </w:r>
      <w:r w:rsidR="00C67935">
        <w:rPr>
          <w:rFonts w:ascii="Arial" w:hAnsi="Arial" w:cs="Arial"/>
        </w:rPr>
        <w:t xml:space="preserve"> settings</w:t>
      </w:r>
    </w:p>
    <w:p w14:paraId="5DBD4A7E" w14:textId="77777777" w:rsidR="00BD1FA2" w:rsidRPr="003600EE" w:rsidRDefault="00BD1FA2" w:rsidP="00BD1FA2">
      <w:pPr>
        <w:rPr>
          <w:rFonts w:ascii="Arial" w:hAnsi="Arial" w:cs="Arial"/>
        </w:rPr>
      </w:pPr>
    </w:p>
    <w:tbl>
      <w:tblPr>
        <w:tblStyle w:val="TableGrid"/>
        <w:tblW w:w="14029" w:type="dxa"/>
        <w:tblLook w:val="04A0" w:firstRow="1" w:lastRow="0" w:firstColumn="1" w:lastColumn="0" w:noHBand="0" w:noVBand="1"/>
      </w:tblPr>
      <w:tblGrid>
        <w:gridCol w:w="7515"/>
        <w:gridCol w:w="950"/>
        <w:gridCol w:w="5564"/>
      </w:tblGrid>
      <w:tr w:rsidR="00BD1FA2" w:rsidRPr="003600EE" w14:paraId="6E158CC0" w14:textId="77777777" w:rsidTr="004A4794">
        <w:tc>
          <w:tcPr>
            <w:tcW w:w="7515" w:type="dxa"/>
          </w:tcPr>
          <w:p w14:paraId="41DFA568" w14:textId="77777777" w:rsidR="00BD1FA2" w:rsidRPr="003600EE" w:rsidRDefault="00BD1FA2">
            <w:pPr>
              <w:rPr>
                <w:rFonts w:ascii="Arial" w:hAnsi="Arial" w:cs="Arial"/>
              </w:rPr>
            </w:pPr>
            <w:r w:rsidRPr="003600EE">
              <w:rPr>
                <w:rFonts w:ascii="Arial" w:hAnsi="Arial" w:cs="Arial"/>
              </w:rPr>
              <w:t>Question</w:t>
            </w:r>
          </w:p>
        </w:tc>
        <w:tc>
          <w:tcPr>
            <w:tcW w:w="950" w:type="dxa"/>
          </w:tcPr>
          <w:p w14:paraId="3BD95442" w14:textId="77777777" w:rsidR="00BD1FA2" w:rsidRPr="003600EE" w:rsidRDefault="00BD1FA2">
            <w:pPr>
              <w:rPr>
                <w:rFonts w:ascii="Arial" w:hAnsi="Arial" w:cs="Arial"/>
              </w:rPr>
            </w:pPr>
            <w:r w:rsidRPr="003600EE">
              <w:rPr>
                <w:rFonts w:ascii="Arial" w:hAnsi="Arial" w:cs="Arial"/>
              </w:rPr>
              <w:t>Answer</w:t>
            </w:r>
          </w:p>
        </w:tc>
        <w:tc>
          <w:tcPr>
            <w:tcW w:w="5564" w:type="dxa"/>
          </w:tcPr>
          <w:p w14:paraId="1B823AC6" w14:textId="77777777" w:rsidR="00BD1FA2" w:rsidRPr="003600EE" w:rsidRDefault="00BD1FA2">
            <w:pPr>
              <w:rPr>
                <w:rFonts w:ascii="Arial" w:hAnsi="Arial" w:cs="Arial"/>
              </w:rPr>
            </w:pPr>
            <w:r w:rsidRPr="003600EE">
              <w:rPr>
                <w:rFonts w:ascii="Arial" w:hAnsi="Arial" w:cs="Arial"/>
              </w:rPr>
              <w:t>Comment</w:t>
            </w:r>
          </w:p>
        </w:tc>
      </w:tr>
      <w:tr w:rsidR="00BD1FA2" w:rsidRPr="003600EE" w14:paraId="23103855" w14:textId="77777777" w:rsidTr="004A4794">
        <w:tc>
          <w:tcPr>
            <w:tcW w:w="7515" w:type="dxa"/>
          </w:tcPr>
          <w:p w14:paraId="4BC5A540" w14:textId="77777777" w:rsidR="00BD1FA2" w:rsidRPr="003600EE" w:rsidRDefault="00BD1FA2">
            <w:pPr>
              <w:rPr>
                <w:rFonts w:ascii="Arial" w:hAnsi="Arial" w:cs="Arial"/>
              </w:rPr>
            </w:pPr>
            <w:r w:rsidRPr="003600EE">
              <w:rPr>
                <w:rFonts w:ascii="Arial" w:hAnsi="Arial" w:cs="Arial"/>
              </w:rPr>
              <w:t>1 Are all waste and recycling bins, including any for the main kitchens, at least 10 metres from buildings and in a secure compound or fixed via chains/padlocked together?</w:t>
            </w:r>
          </w:p>
        </w:tc>
        <w:tc>
          <w:tcPr>
            <w:tcW w:w="950" w:type="dxa"/>
          </w:tcPr>
          <w:p w14:paraId="786159B2" w14:textId="77777777" w:rsidR="00BD1FA2" w:rsidRPr="003600EE" w:rsidRDefault="00BD1FA2">
            <w:pPr>
              <w:rPr>
                <w:rFonts w:ascii="Arial" w:hAnsi="Arial" w:cs="Arial"/>
              </w:rPr>
            </w:pPr>
          </w:p>
        </w:tc>
        <w:tc>
          <w:tcPr>
            <w:tcW w:w="5564" w:type="dxa"/>
          </w:tcPr>
          <w:p w14:paraId="49BAEC83" w14:textId="77777777" w:rsidR="00BD1FA2" w:rsidRPr="003600EE" w:rsidRDefault="00BD1FA2">
            <w:pPr>
              <w:rPr>
                <w:rFonts w:ascii="Arial" w:hAnsi="Arial" w:cs="Arial"/>
              </w:rPr>
            </w:pPr>
          </w:p>
        </w:tc>
      </w:tr>
      <w:tr w:rsidR="00BD1FA2" w:rsidRPr="003600EE" w14:paraId="0B28E9F0" w14:textId="77777777" w:rsidTr="004A4794">
        <w:tc>
          <w:tcPr>
            <w:tcW w:w="7515" w:type="dxa"/>
          </w:tcPr>
          <w:p w14:paraId="404DC715" w14:textId="77777777" w:rsidR="00BD1FA2" w:rsidRPr="003600EE" w:rsidRDefault="00BD1FA2">
            <w:pPr>
              <w:rPr>
                <w:rFonts w:ascii="Arial" w:hAnsi="Arial" w:cs="Arial"/>
              </w:rPr>
            </w:pPr>
            <w:r w:rsidRPr="003600EE">
              <w:rPr>
                <w:rFonts w:ascii="Arial" w:hAnsi="Arial" w:cs="Arial"/>
              </w:rPr>
              <w:t>2 Are any external waste materials e.g. pallets or cardboard from deliveries, regularly cleared and kept within allocated waste storage areas?</w:t>
            </w:r>
          </w:p>
        </w:tc>
        <w:tc>
          <w:tcPr>
            <w:tcW w:w="950" w:type="dxa"/>
          </w:tcPr>
          <w:p w14:paraId="02DB3EEF" w14:textId="77777777" w:rsidR="00BD1FA2" w:rsidRPr="003600EE" w:rsidRDefault="00BD1FA2">
            <w:pPr>
              <w:rPr>
                <w:rFonts w:ascii="Arial" w:hAnsi="Arial" w:cs="Arial"/>
              </w:rPr>
            </w:pPr>
          </w:p>
        </w:tc>
        <w:tc>
          <w:tcPr>
            <w:tcW w:w="5564" w:type="dxa"/>
          </w:tcPr>
          <w:p w14:paraId="300A032F" w14:textId="77777777" w:rsidR="00BD1FA2" w:rsidRPr="003600EE" w:rsidRDefault="00BD1FA2">
            <w:pPr>
              <w:rPr>
                <w:rFonts w:ascii="Arial" w:hAnsi="Arial" w:cs="Arial"/>
              </w:rPr>
            </w:pPr>
          </w:p>
        </w:tc>
      </w:tr>
      <w:tr w:rsidR="00BD1FA2" w:rsidRPr="003600EE" w14:paraId="5A1F646E" w14:textId="77777777" w:rsidTr="004A4794">
        <w:tc>
          <w:tcPr>
            <w:tcW w:w="7515" w:type="dxa"/>
          </w:tcPr>
          <w:p w14:paraId="3BA347B9" w14:textId="77777777" w:rsidR="00BD1FA2" w:rsidRPr="003600EE" w:rsidRDefault="00BD1FA2">
            <w:pPr>
              <w:rPr>
                <w:rFonts w:ascii="Arial" w:hAnsi="Arial" w:cs="Arial"/>
              </w:rPr>
            </w:pPr>
            <w:r w:rsidRPr="003600EE">
              <w:rPr>
                <w:rFonts w:ascii="Arial" w:hAnsi="Arial" w:cs="Arial"/>
              </w:rPr>
              <w:t>3 Are all small external litter bins positioned a minimum of 5 metres from buildings, anchored in place, and emptied daily? This includes courtyard areas as these can be accessible via the roof.</w:t>
            </w:r>
          </w:p>
        </w:tc>
        <w:tc>
          <w:tcPr>
            <w:tcW w:w="950" w:type="dxa"/>
          </w:tcPr>
          <w:p w14:paraId="02034C24" w14:textId="77777777" w:rsidR="00BD1FA2" w:rsidRPr="003600EE" w:rsidRDefault="00BD1FA2">
            <w:pPr>
              <w:rPr>
                <w:rFonts w:ascii="Arial" w:hAnsi="Arial" w:cs="Arial"/>
              </w:rPr>
            </w:pPr>
          </w:p>
        </w:tc>
        <w:tc>
          <w:tcPr>
            <w:tcW w:w="5564" w:type="dxa"/>
          </w:tcPr>
          <w:p w14:paraId="538CC2F0" w14:textId="77777777" w:rsidR="00BD1FA2" w:rsidRPr="003600EE" w:rsidRDefault="00BD1FA2">
            <w:pPr>
              <w:rPr>
                <w:rFonts w:ascii="Arial" w:hAnsi="Arial" w:cs="Arial"/>
              </w:rPr>
            </w:pPr>
          </w:p>
        </w:tc>
      </w:tr>
      <w:tr w:rsidR="00BD1FA2" w:rsidRPr="003600EE" w14:paraId="2E674024" w14:textId="77777777" w:rsidTr="004A4794">
        <w:tc>
          <w:tcPr>
            <w:tcW w:w="7515" w:type="dxa"/>
          </w:tcPr>
          <w:p w14:paraId="61343A43" w14:textId="45D301B5" w:rsidR="00BD1FA2" w:rsidRPr="003600EE" w:rsidRDefault="004A4794">
            <w:pPr>
              <w:rPr>
                <w:rFonts w:ascii="Arial" w:hAnsi="Arial" w:cs="Arial"/>
              </w:rPr>
            </w:pPr>
            <w:r>
              <w:rPr>
                <w:rFonts w:ascii="Arial" w:hAnsi="Arial" w:cs="Arial"/>
              </w:rPr>
              <w:t>4</w:t>
            </w:r>
            <w:r w:rsidR="00BD1FA2" w:rsidRPr="003600EE">
              <w:rPr>
                <w:rFonts w:ascii="Arial" w:hAnsi="Arial" w:cs="Arial"/>
              </w:rPr>
              <w:t xml:space="preserve"> Do any demountable buildings have protected bases e.g. steel sheet or close gauge wire mesh to prevent the accumulation of combustible materials underneath the building?</w:t>
            </w:r>
          </w:p>
        </w:tc>
        <w:tc>
          <w:tcPr>
            <w:tcW w:w="950" w:type="dxa"/>
          </w:tcPr>
          <w:p w14:paraId="2BAC05D7" w14:textId="77777777" w:rsidR="00BD1FA2" w:rsidRPr="003600EE" w:rsidRDefault="00BD1FA2">
            <w:pPr>
              <w:rPr>
                <w:rFonts w:ascii="Arial" w:hAnsi="Arial" w:cs="Arial"/>
              </w:rPr>
            </w:pPr>
          </w:p>
        </w:tc>
        <w:tc>
          <w:tcPr>
            <w:tcW w:w="5564" w:type="dxa"/>
          </w:tcPr>
          <w:p w14:paraId="0168D95C" w14:textId="77777777" w:rsidR="00BD1FA2" w:rsidRPr="003600EE" w:rsidRDefault="00BD1FA2">
            <w:pPr>
              <w:rPr>
                <w:rFonts w:ascii="Arial" w:hAnsi="Arial" w:cs="Arial"/>
              </w:rPr>
            </w:pPr>
          </w:p>
        </w:tc>
      </w:tr>
      <w:tr w:rsidR="00BD1FA2" w:rsidRPr="003600EE" w14:paraId="50B1614D" w14:textId="77777777" w:rsidTr="004A4794">
        <w:tc>
          <w:tcPr>
            <w:tcW w:w="7515" w:type="dxa"/>
          </w:tcPr>
          <w:p w14:paraId="4A1474E1" w14:textId="425DE780" w:rsidR="00BD1FA2" w:rsidRPr="003600EE" w:rsidRDefault="004A4794">
            <w:pPr>
              <w:rPr>
                <w:rFonts w:ascii="Arial" w:hAnsi="Arial" w:cs="Arial"/>
              </w:rPr>
            </w:pPr>
            <w:r>
              <w:rPr>
                <w:rFonts w:ascii="Arial" w:hAnsi="Arial" w:cs="Arial"/>
              </w:rPr>
              <w:t>5</w:t>
            </w:r>
            <w:r w:rsidR="00BD1FA2" w:rsidRPr="003600EE">
              <w:rPr>
                <w:rFonts w:ascii="Arial" w:hAnsi="Arial" w:cs="Arial"/>
              </w:rPr>
              <w:t xml:space="preserve"> Are combustible structures such as timber or plastic sheds located 10 metres from buildings?</w:t>
            </w:r>
          </w:p>
        </w:tc>
        <w:tc>
          <w:tcPr>
            <w:tcW w:w="950" w:type="dxa"/>
          </w:tcPr>
          <w:p w14:paraId="0DD4ABE1" w14:textId="77777777" w:rsidR="00BD1FA2" w:rsidRPr="003600EE" w:rsidRDefault="00BD1FA2">
            <w:pPr>
              <w:rPr>
                <w:rFonts w:ascii="Arial" w:hAnsi="Arial" w:cs="Arial"/>
              </w:rPr>
            </w:pPr>
          </w:p>
        </w:tc>
        <w:tc>
          <w:tcPr>
            <w:tcW w:w="5564" w:type="dxa"/>
          </w:tcPr>
          <w:p w14:paraId="32D28126" w14:textId="77777777" w:rsidR="00BD1FA2" w:rsidRPr="003600EE" w:rsidRDefault="00BD1FA2">
            <w:pPr>
              <w:rPr>
                <w:rFonts w:ascii="Arial" w:hAnsi="Arial" w:cs="Arial"/>
              </w:rPr>
            </w:pPr>
          </w:p>
        </w:tc>
      </w:tr>
      <w:tr w:rsidR="00BD1FA2" w:rsidRPr="003600EE" w14:paraId="37D2AE3E" w14:textId="77777777" w:rsidTr="004A4794">
        <w:tc>
          <w:tcPr>
            <w:tcW w:w="7515" w:type="dxa"/>
          </w:tcPr>
          <w:p w14:paraId="3FEEA04A" w14:textId="005FF4B4" w:rsidR="00BD1FA2" w:rsidRPr="003600EE" w:rsidRDefault="004A4794">
            <w:pPr>
              <w:rPr>
                <w:rFonts w:ascii="Arial" w:hAnsi="Arial" w:cs="Arial"/>
              </w:rPr>
            </w:pPr>
            <w:r>
              <w:rPr>
                <w:rFonts w:ascii="Arial" w:hAnsi="Arial" w:cs="Arial"/>
              </w:rPr>
              <w:t>6</w:t>
            </w:r>
            <w:r w:rsidR="00BD1FA2" w:rsidRPr="003600EE">
              <w:rPr>
                <w:rFonts w:ascii="Arial" w:hAnsi="Arial" w:cs="Arial"/>
              </w:rPr>
              <w:t xml:space="preserve"> Is there a secure, non-combustible, overnight storage unit or compound where moveable combustible play equipment pieces (tyres, pallets, cable reels etc) are kept?</w:t>
            </w:r>
          </w:p>
        </w:tc>
        <w:tc>
          <w:tcPr>
            <w:tcW w:w="950" w:type="dxa"/>
          </w:tcPr>
          <w:p w14:paraId="4087FE24" w14:textId="77777777" w:rsidR="00BD1FA2" w:rsidRPr="003600EE" w:rsidRDefault="00BD1FA2">
            <w:pPr>
              <w:rPr>
                <w:rFonts w:ascii="Arial" w:hAnsi="Arial" w:cs="Arial"/>
              </w:rPr>
            </w:pPr>
          </w:p>
        </w:tc>
        <w:tc>
          <w:tcPr>
            <w:tcW w:w="5564" w:type="dxa"/>
          </w:tcPr>
          <w:p w14:paraId="3C2D7AF4" w14:textId="77777777" w:rsidR="00BD1FA2" w:rsidRPr="003600EE" w:rsidRDefault="00BD1FA2">
            <w:pPr>
              <w:rPr>
                <w:rFonts w:ascii="Arial" w:hAnsi="Arial" w:cs="Arial"/>
              </w:rPr>
            </w:pPr>
          </w:p>
        </w:tc>
      </w:tr>
      <w:tr w:rsidR="00BD1FA2" w:rsidRPr="003600EE" w14:paraId="6BA2CF1F" w14:textId="77777777" w:rsidTr="004A4794">
        <w:tc>
          <w:tcPr>
            <w:tcW w:w="7515" w:type="dxa"/>
          </w:tcPr>
          <w:p w14:paraId="5C212838" w14:textId="403D58C4" w:rsidR="00BD1FA2" w:rsidRPr="003600EE" w:rsidRDefault="004A4794">
            <w:pPr>
              <w:rPr>
                <w:rFonts w:ascii="Arial" w:hAnsi="Arial" w:cs="Arial"/>
              </w:rPr>
            </w:pPr>
            <w:r>
              <w:rPr>
                <w:rFonts w:ascii="Arial" w:hAnsi="Arial" w:cs="Arial"/>
              </w:rPr>
              <w:t>7</w:t>
            </w:r>
            <w:r w:rsidR="00BD1FA2" w:rsidRPr="003600EE">
              <w:rPr>
                <w:rFonts w:ascii="Arial" w:hAnsi="Arial" w:cs="Arial"/>
              </w:rPr>
              <w:t xml:space="preserve"> Does the site have adequate security lighting?</w:t>
            </w:r>
          </w:p>
        </w:tc>
        <w:tc>
          <w:tcPr>
            <w:tcW w:w="950" w:type="dxa"/>
          </w:tcPr>
          <w:p w14:paraId="7F10CB6D" w14:textId="77777777" w:rsidR="00BD1FA2" w:rsidRPr="003600EE" w:rsidRDefault="00BD1FA2">
            <w:pPr>
              <w:rPr>
                <w:rFonts w:ascii="Arial" w:hAnsi="Arial" w:cs="Arial"/>
              </w:rPr>
            </w:pPr>
          </w:p>
        </w:tc>
        <w:tc>
          <w:tcPr>
            <w:tcW w:w="5564" w:type="dxa"/>
          </w:tcPr>
          <w:p w14:paraId="425901B2" w14:textId="77777777" w:rsidR="00BD1FA2" w:rsidRPr="003600EE" w:rsidRDefault="00BD1FA2">
            <w:pPr>
              <w:rPr>
                <w:rFonts w:ascii="Arial" w:hAnsi="Arial" w:cs="Arial"/>
              </w:rPr>
            </w:pPr>
          </w:p>
        </w:tc>
      </w:tr>
    </w:tbl>
    <w:p w14:paraId="1EDAD949" w14:textId="77777777" w:rsidR="00BD1FA2" w:rsidRPr="003600EE" w:rsidRDefault="00BD1FA2" w:rsidP="00BD1FA2">
      <w:pPr>
        <w:rPr>
          <w:rFonts w:ascii="Arial" w:hAnsi="Arial" w:cs="Arial"/>
        </w:rPr>
      </w:pPr>
    </w:p>
    <w:p w14:paraId="2D74249F" w14:textId="5ED6DA0F" w:rsidR="00B312A0" w:rsidRPr="00BD1FA2" w:rsidRDefault="00443B49" w:rsidP="00BD1FA2">
      <w:pPr>
        <w:rPr>
          <w:color w:val="FF0000"/>
        </w:rPr>
      </w:pPr>
      <w:r>
        <w:rPr>
          <w:noProof/>
        </w:rPr>
        <w:drawing>
          <wp:anchor distT="0" distB="0" distL="114300" distR="114300" simplePos="0" relativeHeight="251661312" behindDoc="0" locked="0" layoutInCell="0" allowOverlap="1" wp14:anchorId="541A08FE" wp14:editId="716AB0CF">
            <wp:simplePos x="0" y="0"/>
            <wp:positionH relativeFrom="column">
              <wp:posOffset>7689850</wp:posOffset>
            </wp:positionH>
            <wp:positionV relativeFrom="page">
              <wp:posOffset>6569710</wp:posOffset>
            </wp:positionV>
            <wp:extent cx="1981200" cy="981075"/>
            <wp:effectExtent l="0" t="0" r="0" b="9525"/>
            <wp:wrapNone/>
            <wp:docPr id="6" name="Picture 6" descr="Statutory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atutory Purp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anchor>
        </w:drawing>
      </w:r>
    </w:p>
    <w:sectPr w:rsidR="00B312A0" w:rsidRPr="00BD1FA2" w:rsidSect="00BD1FA2">
      <w:pgSz w:w="16838" w:h="11906" w:orient="landscape"/>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1A05"/>
    <w:multiLevelType w:val="hybridMultilevel"/>
    <w:tmpl w:val="C6B0FA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35B9"/>
    <w:multiLevelType w:val="hybridMultilevel"/>
    <w:tmpl w:val="B414E900"/>
    <w:lvl w:ilvl="0" w:tplc="08090003">
      <w:start w:val="1"/>
      <w:numFmt w:val="bullet"/>
      <w:lvlText w:val="o"/>
      <w:lvlJc w:val="left"/>
      <w:pPr>
        <w:ind w:left="990" w:hanging="360"/>
      </w:pPr>
      <w:rPr>
        <w:rFonts w:ascii="Courier New" w:hAnsi="Courier New" w:cs="Courier New"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20E114D9"/>
    <w:multiLevelType w:val="hybridMultilevel"/>
    <w:tmpl w:val="F45C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E1530"/>
    <w:multiLevelType w:val="multilevel"/>
    <w:tmpl w:val="29E4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D65EA2"/>
    <w:multiLevelType w:val="hybridMultilevel"/>
    <w:tmpl w:val="6952F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82A58"/>
    <w:multiLevelType w:val="hybridMultilevel"/>
    <w:tmpl w:val="665C5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23C37"/>
    <w:multiLevelType w:val="multilevel"/>
    <w:tmpl w:val="8A3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33072"/>
    <w:multiLevelType w:val="hybridMultilevel"/>
    <w:tmpl w:val="736E9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2017EC"/>
    <w:multiLevelType w:val="hybridMultilevel"/>
    <w:tmpl w:val="F9FE5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45187605">
    <w:abstractNumId w:val="4"/>
  </w:num>
  <w:num w:numId="2" w16cid:durableId="117917063">
    <w:abstractNumId w:val="6"/>
  </w:num>
  <w:num w:numId="3" w16cid:durableId="1782454158">
    <w:abstractNumId w:val="3"/>
  </w:num>
  <w:num w:numId="4" w16cid:durableId="1261790588">
    <w:abstractNumId w:val="1"/>
  </w:num>
  <w:num w:numId="5" w16cid:durableId="5178991">
    <w:abstractNumId w:val="8"/>
  </w:num>
  <w:num w:numId="6" w16cid:durableId="1043482609">
    <w:abstractNumId w:val="5"/>
  </w:num>
  <w:num w:numId="7" w16cid:durableId="523180146">
    <w:abstractNumId w:val="0"/>
  </w:num>
  <w:num w:numId="8" w16cid:durableId="586038441">
    <w:abstractNumId w:val="2"/>
  </w:num>
  <w:num w:numId="9" w16cid:durableId="1887401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8D"/>
    <w:rsid w:val="0001427E"/>
    <w:rsid w:val="000B0BB5"/>
    <w:rsid w:val="000D14A6"/>
    <w:rsid w:val="000F58D7"/>
    <w:rsid w:val="001029E1"/>
    <w:rsid w:val="00120E03"/>
    <w:rsid w:val="00133F14"/>
    <w:rsid w:val="001404D4"/>
    <w:rsid w:val="00180199"/>
    <w:rsid w:val="00197252"/>
    <w:rsid w:val="002029DF"/>
    <w:rsid w:val="00204A65"/>
    <w:rsid w:val="002423EC"/>
    <w:rsid w:val="002575D9"/>
    <w:rsid w:val="002823AF"/>
    <w:rsid w:val="003058E8"/>
    <w:rsid w:val="00320B55"/>
    <w:rsid w:val="00335F30"/>
    <w:rsid w:val="00376830"/>
    <w:rsid w:val="003A5E88"/>
    <w:rsid w:val="003B069F"/>
    <w:rsid w:val="003B07F8"/>
    <w:rsid w:val="003B7DD3"/>
    <w:rsid w:val="003C6326"/>
    <w:rsid w:val="003C7D8B"/>
    <w:rsid w:val="003F697B"/>
    <w:rsid w:val="00406276"/>
    <w:rsid w:val="00423B47"/>
    <w:rsid w:val="00423C21"/>
    <w:rsid w:val="00443B49"/>
    <w:rsid w:val="00492491"/>
    <w:rsid w:val="00492B45"/>
    <w:rsid w:val="00495527"/>
    <w:rsid w:val="004A1E84"/>
    <w:rsid w:val="004A4794"/>
    <w:rsid w:val="004B1023"/>
    <w:rsid w:val="004B549E"/>
    <w:rsid w:val="004C27D0"/>
    <w:rsid w:val="004D5089"/>
    <w:rsid w:val="00511492"/>
    <w:rsid w:val="00514CE8"/>
    <w:rsid w:val="005602E2"/>
    <w:rsid w:val="00580E3E"/>
    <w:rsid w:val="005C5D6D"/>
    <w:rsid w:val="005E45B9"/>
    <w:rsid w:val="00620137"/>
    <w:rsid w:val="006232D5"/>
    <w:rsid w:val="0062654C"/>
    <w:rsid w:val="00723FC8"/>
    <w:rsid w:val="007463C0"/>
    <w:rsid w:val="007511DA"/>
    <w:rsid w:val="007533AA"/>
    <w:rsid w:val="007B1BEF"/>
    <w:rsid w:val="0081543D"/>
    <w:rsid w:val="0084776E"/>
    <w:rsid w:val="00864739"/>
    <w:rsid w:val="008929CC"/>
    <w:rsid w:val="008A5BDE"/>
    <w:rsid w:val="00937F5D"/>
    <w:rsid w:val="00982764"/>
    <w:rsid w:val="009861A1"/>
    <w:rsid w:val="009F7C0A"/>
    <w:rsid w:val="00A34672"/>
    <w:rsid w:val="00A42C5F"/>
    <w:rsid w:val="00B1325B"/>
    <w:rsid w:val="00B30996"/>
    <w:rsid w:val="00B312A0"/>
    <w:rsid w:val="00B530EC"/>
    <w:rsid w:val="00B71BD8"/>
    <w:rsid w:val="00B85A96"/>
    <w:rsid w:val="00B95EBC"/>
    <w:rsid w:val="00BB785B"/>
    <w:rsid w:val="00BC653A"/>
    <w:rsid w:val="00BD1FA2"/>
    <w:rsid w:val="00BD5543"/>
    <w:rsid w:val="00BD6894"/>
    <w:rsid w:val="00BE4B79"/>
    <w:rsid w:val="00BF430B"/>
    <w:rsid w:val="00C066FE"/>
    <w:rsid w:val="00C33C29"/>
    <w:rsid w:val="00C55E5C"/>
    <w:rsid w:val="00C65FBC"/>
    <w:rsid w:val="00C67935"/>
    <w:rsid w:val="00CA0F8D"/>
    <w:rsid w:val="00CD2BD4"/>
    <w:rsid w:val="00CE0992"/>
    <w:rsid w:val="00D1679D"/>
    <w:rsid w:val="00D250D5"/>
    <w:rsid w:val="00D43DA4"/>
    <w:rsid w:val="00D74566"/>
    <w:rsid w:val="00D77F9D"/>
    <w:rsid w:val="00D95B5C"/>
    <w:rsid w:val="00DB68D1"/>
    <w:rsid w:val="00E20570"/>
    <w:rsid w:val="00E32003"/>
    <w:rsid w:val="00E37C20"/>
    <w:rsid w:val="00E94210"/>
    <w:rsid w:val="00F04130"/>
    <w:rsid w:val="00F236CB"/>
    <w:rsid w:val="00F45FA2"/>
    <w:rsid w:val="00F47E7F"/>
    <w:rsid w:val="00F654C1"/>
    <w:rsid w:val="00F90625"/>
    <w:rsid w:val="00FB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4511"/>
  <w15:docId w15:val="{7AC5ABB4-715E-4EDD-A530-1A91972D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A2"/>
  </w:style>
  <w:style w:type="paragraph" w:styleId="Heading2">
    <w:name w:val="heading 2"/>
    <w:basedOn w:val="Normal"/>
    <w:next w:val="Normal"/>
    <w:link w:val="Heading2Char"/>
    <w:autoRedefine/>
    <w:qFormat/>
    <w:rsid w:val="00443B49"/>
    <w:pPr>
      <w:keepNext/>
      <w:spacing w:before="120" w:after="120" w:line="240" w:lineRule="auto"/>
      <w:ind w:left="1080"/>
      <w:outlineLvl w:val="1"/>
    </w:pPr>
    <w:rPr>
      <w:rFonts w:ascii="Arial" w:eastAsia="Times New Roman" w:hAnsi="Arial" w:cs="Times New Roman"/>
      <w:b/>
      <w:color w:val="66336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566"/>
    <w:pPr>
      <w:ind w:left="720"/>
      <w:contextualSpacing/>
    </w:pPr>
  </w:style>
  <w:style w:type="character" w:styleId="Hyperlink">
    <w:name w:val="Hyperlink"/>
    <w:basedOn w:val="DefaultParagraphFont"/>
    <w:unhideWhenUsed/>
    <w:rsid w:val="00C066FE"/>
    <w:rPr>
      <w:color w:val="0000FF" w:themeColor="hyperlink"/>
      <w:u w:val="single"/>
    </w:rPr>
  </w:style>
  <w:style w:type="character" w:styleId="UnresolvedMention">
    <w:name w:val="Unresolved Mention"/>
    <w:basedOn w:val="DefaultParagraphFont"/>
    <w:uiPriority w:val="99"/>
    <w:semiHidden/>
    <w:unhideWhenUsed/>
    <w:rsid w:val="00C066FE"/>
    <w:rPr>
      <w:color w:val="605E5C"/>
      <w:shd w:val="clear" w:color="auto" w:fill="E1DFDD"/>
    </w:rPr>
  </w:style>
  <w:style w:type="character" w:customStyle="1" w:styleId="Heading2Char">
    <w:name w:val="Heading 2 Char"/>
    <w:basedOn w:val="DefaultParagraphFont"/>
    <w:link w:val="Heading2"/>
    <w:rsid w:val="00443B49"/>
    <w:rPr>
      <w:rFonts w:ascii="Arial" w:eastAsia="Times New Roman" w:hAnsi="Arial" w:cs="Times New Roman"/>
      <w:b/>
      <w:color w:val="663366"/>
      <w:sz w:val="28"/>
      <w:szCs w:val="28"/>
      <w:lang w:eastAsia="en-GB"/>
    </w:rPr>
  </w:style>
  <w:style w:type="table" w:styleId="TableGrid">
    <w:name w:val="Table Grid"/>
    <w:basedOn w:val="TableNormal"/>
    <w:uiPriority w:val="39"/>
    <w:rsid w:val="00BD1FA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373727">
      <w:bodyDiv w:val="1"/>
      <w:marLeft w:val="0"/>
      <w:marRight w:val="0"/>
      <w:marTop w:val="0"/>
      <w:marBottom w:val="0"/>
      <w:divBdr>
        <w:top w:val="none" w:sz="0" w:space="0" w:color="auto"/>
        <w:left w:val="none" w:sz="0" w:space="0" w:color="auto"/>
        <w:bottom w:val="none" w:sz="0" w:space="0" w:color="auto"/>
        <w:right w:val="none" w:sz="0" w:space="0" w:color="auto"/>
      </w:divBdr>
      <w:divsChild>
        <w:div w:id="2021664986">
          <w:marLeft w:val="0"/>
          <w:marRight w:val="0"/>
          <w:marTop w:val="0"/>
          <w:marBottom w:val="0"/>
          <w:divBdr>
            <w:top w:val="none" w:sz="0" w:space="0" w:color="auto"/>
            <w:left w:val="none" w:sz="0" w:space="0" w:color="auto"/>
            <w:bottom w:val="none" w:sz="0" w:space="0" w:color="auto"/>
            <w:right w:val="none" w:sz="0" w:space="0" w:color="auto"/>
          </w:divBdr>
          <w:divsChild>
            <w:div w:id="1204565002">
              <w:marLeft w:val="0"/>
              <w:marRight w:val="0"/>
              <w:marTop w:val="0"/>
              <w:marBottom w:val="0"/>
              <w:divBdr>
                <w:top w:val="none" w:sz="0" w:space="0" w:color="auto"/>
                <w:left w:val="none" w:sz="0" w:space="0" w:color="auto"/>
                <w:bottom w:val="none" w:sz="0" w:space="0" w:color="auto"/>
                <w:right w:val="none" w:sz="0" w:space="0" w:color="auto"/>
              </w:divBdr>
              <w:divsChild>
                <w:div w:id="1507591163">
                  <w:marLeft w:val="0"/>
                  <w:marRight w:val="0"/>
                  <w:marTop w:val="0"/>
                  <w:marBottom w:val="0"/>
                  <w:divBdr>
                    <w:top w:val="none" w:sz="0" w:space="0" w:color="auto"/>
                    <w:left w:val="none" w:sz="0" w:space="0" w:color="auto"/>
                    <w:bottom w:val="none" w:sz="0" w:space="0" w:color="auto"/>
                    <w:right w:val="none" w:sz="0" w:space="0" w:color="auto"/>
                  </w:divBdr>
                  <w:divsChild>
                    <w:div w:id="1615478887">
                      <w:marLeft w:val="0"/>
                      <w:marRight w:val="0"/>
                      <w:marTop w:val="0"/>
                      <w:marBottom w:val="0"/>
                      <w:divBdr>
                        <w:top w:val="none" w:sz="0" w:space="0" w:color="auto"/>
                        <w:left w:val="none" w:sz="0" w:space="0" w:color="auto"/>
                        <w:bottom w:val="none" w:sz="0" w:space="0" w:color="auto"/>
                        <w:right w:val="none" w:sz="0" w:space="0" w:color="auto"/>
                      </w:divBdr>
                      <w:divsChild>
                        <w:div w:id="1631596983">
                          <w:marLeft w:val="0"/>
                          <w:marRight w:val="0"/>
                          <w:marTop w:val="0"/>
                          <w:marBottom w:val="0"/>
                          <w:divBdr>
                            <w:top w:val="none" w:sz="0" w:space="0" w:color="auto"/>
                            <w:left w:val="none" w:sz="0" w:space="0" w:color="auto"/>
                            <w:bottom w:val="none" w:sz="0" w:space="0" w:color="auto"/>
                            <w:right w:val="none" w:sz="0" w:space="0" w:color="auto"/>
                          </w:divBdr>
                          <w:divsChild>
                            <w:div w:id="845708086">
                              <w:marLeft w:val="0"/>
                              <w:marRight w:val="0"/>
                              <w:marTop w:val="450"/>
                              <w:marBottom w:val="0"/>
                              <w:divBdr>
                                <w:top w:val="none" w:sz="0" w:space="0" w:color="auto"/>
                                <w:left w:val="none" w:sz="0" w:space="0" w:color="auto"/>
                                <w:bottom w:val="none" w:sz="0" w:space="0" w:color="auto"/>
                                <w:right w:val="none" w:sz="0" w:space="0" w:color="auto"/>
                              </w:divBdr>
                              <w:divsChild>
                                <w:div w:id="802309289">
                                  <w:marLeft w:val="0"/>
                                  <w:marRight w:val="0"/>
                                  <w:marTop w:val="0"/>
                                  <w:marBottom w:val="0"/>
                                  <w:divBdr>
                                    <w:top w:val="none" w:sz="0" w:space="0" w:color="auto"/>
                                    <w:left w:val="none" w:sz="0" w:space="0" w:color="auto"/>
                                    <w:bottom w:val="none" w:sz="0" w:space="0" w:color="auto"/>
                                    <w:right w:val="none" w:sz="0" w:space="0" w:color="auto"/>
                                  </w:divBdr>
                                  <w:divsChild>
                                    <w:div w:id="363796866">
                                      <w:marLeft w:val="0"/>
                                      <w:marRight w:val="4"/>
                                      <w:marTop w:val="0"/>
                                      <w:marBottom w:val="0"/>
                                      <w:divBdr>
                                        <w:top w:val="none" w:sz="0" w:space="0" w:color="auto"/>
                                        <w:left w:val="none" w:sz="0" w:space="0" w:color="auto"/>
                                        <w:bottom w:val="none" w:sz="0" w:space="0" w:color="auto"/>
                                        <w:right w:val="none" w:sz="0" w:space="0" w:color="auto"/>
                                      </w:divBdr>
                                      <w:divsChild>
                                        <w:div w:id="1217933099">
                                          <w:marLeft w:val="0"/>
                                          <w:marRight w:val="0"/>
                                          <w:marTop w:val="0"/>
                                          <w:marBottom w:val="0"/>
                                          <w:divBdr>
                                            <w:top w:val="none" w:sz="0" w:space="0" w:color="auto"/>
                                            <w:left w:val="none" w:sz="0" w:space="0" w:color="auto"/>
                                            <w:bottom w:val="none" w:sz="0" w:space="0" w:color="auto"/>
                                            <w:right w:val="none" w:sz="0" w:space="0" w:color="auto"/>
                                          </w:divBdr>
                                          <w:divsChild>
                                            <w:div w:id="1668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McMillan</dc:creator>
  <cp:keywords/>
  <dc:description/>
  <cp:lastModifiedBy>Gemma Wimberley</cp:lastModifiedBy>
  <cp:revision>1</cp:revision>
  <cp:lastPrinted>2019-12-12T14:02:00Z</cp:lastPrinted>
  <dcterms:created xsi:type="dcterms:W3CDTF">2024-06-26T15:38:00Z</dcterms:created>
  <dcterms:modified xsi:type="dcterms:W3CDTF">2024-07-22T14:53:00Z</dcterms:modified>
</cp:coreProperties>
</file>